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B3" w:rsidRPr="00DC4B46" w:rsidRDefault="009016B3" w:rsidP="00804375">
      <w:pPr>
        <w:pStyle w:val="Title"/>
        <w:shd w:val="clear" w:color="auto" w:fill="FABF8F" w:themeFill="accent6" w:themeFillTint="99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DC4B46">
        <w:rPr>
          <w:rFonts w:ascii="Arial" w:hAnsi="Arial" w:cs="Arial"/>
          <w:color w:val="0D0D0D" w:themeColor="text1" w:themeTint="F2"/>
          <w:sz w:val="24"/>
          <w:szCs w:val="24"/>
        </w:rPr>
        <w:t>“Ge</w:t>
      </w:r>
      <w:r w:rsidR="00D06A9A" w:rsidRPr="00DC4B46">
        <w:rPr>
          <w:rFonts w:ascii="Arial" w:hAnsi="Arial" w:cs="Arial"/>
          <w:color w:val="0D0D0D" w:themeColor="text1" w:themeTint="F2"/>
          <w:sz w:val="24"/>
          <w:szCs w:val="24"/>
        </w:rPr>
        <w:t>tting Electricity” Under “Ease O</w:t>
      </w:r>
      <w:r w:rsidRPr="00DC4B46">
        <w:rPr>
          <w:rFonts w:ascii="Arial" w:hAnsi="Arial" w:cs="Arial"/>
          <w:color w:val="0D0D0D" w:themeColor="text1" w:themeTint="F2"/>
          <w:sz w:val="24"/>
          <w:szCs w:val="24"/>
        </w:rPr>
        <w:t>f Doing Business”</w:t>
      </w:r>
    </w:p>
    <w:p w:rsidR="00C86C77" w:rsidRPr="00804375" w:rsidRDefault="00A87FD1" w:rsidP="00631B44">
      <w:pPr>
        <w:pStyle w:val="ListParagraph"/>
        <w:numPr>
          <w:ilvl w:val="0"/>
          <w:numId w:val="21"/>
        </w:numPr>
        <w:shd w:val="clear" w:color="auto" w:fill="D6E3BC" w:themeFill="accent3" w:themeFillTint="66"/>
        <w:jc w:val="both"/>
        <w:rPr>
          <w:rFonts w:ascii="Arial" w:hAnsi="Arial" w:cs="Arial"/>
        </w:rPr>
      </w:pPr>
      <w:r w:rsidRPr="00804375">
        <w:rPr>
          <w:rFonts w:ascii="Arial" w:hAnsi="Arial" w:cs="Arial"/>
        </w:rPr>
        <w:t>T</w:t>
      </w:r>
      <w:r w:rsidR="001A4557" w:rsidRPr="00804375">
        <w:rPr>
          <w:rFonts w:ascii="Arial" w:hAnsi="Arial" w:cs="Arial"/>
        </w:rPr>
        <w:t>o cut down on procedures, time taken and cost of new electricity connection significant steps have been taken by Department of Industrial Policy &amp; Promotion (DIPP), Ministry of Power (</w:t>
      </w:r>
      <w:r w:rsidR="004D7861" w:rsidRPr="00804375">
        <w:rPr>
          <w:rFonts w:ascii="Arial" w:hAnsi="Arial" w:cs="Arial"/>
        </w:rPr>
        <w:t>GoI), Central Electricity Authority (CEA), Department of Industries (GoNCTD), Department of Power (GoNCTD), Delhi Electricity Regulatory Commission (DERC) and DISCOMs</w:t>
      </w:r>
      <w:r w:rsidR="00C84028" w:rsidRPr="00804375">
        <w:rPr>
          <w:rFonts w:ascii="Arial" w:hAnsi="Arial" w:cs="Arial"/>
        </w:rPr>
        <w:t xml:space="preserve"> in Delhi under Ease of Doing Business Initiatives.</w:t>
      </w:r>
    </w:p>
    <w:p w:rsidR="004D2AC2" w:rsidRPr="00804375" w:rsidRDefault="004D2AC2" w:rsidP="009A53C3">
      <w:pPr>
        <w:shd w:val="clear" w:color="auto" w:fill="FABF8F" w:themeFill="accent6" w:themeFillTint="99"/>
        <w:rPr>
          <w:rFonts w:ascii="Arial" w:hAnsi="Arial" w:cs="Arial"/>
          <w:sz w:val="24"/>
          <w:szCs w:val="24"/>
          <w:u w:val="single"/>
        </w:rPr>
      </w:pPr>
      <w:r w:rsidRPr="00804375">
        <w:rPr>
          <w:rFonts w:ascii="Arial" w:hAnsi="Arial" w:cs="Arial"/>
          <w:sz w:val="24"/>
          <w:szCs w:val="24"/>
          <w:u w:val="single"/>
        </w:rPr>
        <w:t xml:space="preserve">Initiatives taken </w:t>
      </w:r>
      <w:r w:rsidR="001A4AA7" w:rsidRPr="00804375">
        <w:rPr>
          <w:rFonts w:ascii="Arial" w:hAnsi="Arial" w:cs="Arial"/>
          <w:sz w:val="24"/>
          <w:szCs w:val="24"/>
          <w:u w:val="single"/>
        </w:rPr>
        <w:t>so far</w:t>
      </w:r>
      <w:r w:rsidR="00E30923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leGrid"/>
        <w:tblW w:w="10219" w:type="dxa"/>
        <w:tblLook w:val="04A0"/>
      </w:tblPr>
      <w:tblGrid>
        <w:gridCol w:w="643"/>
        <w:gridCol w:w="1805"/>
        <w:gridCol w:w="2845"/>
        <w:gridCol w:w="4926"/>
      </w:tblGrid>
      <w:tr w:rsidR="00884E79" w:rsidRPr="009F1A10" w:rsidTr="003310E6">
        <w:trPr>
          <w:trHeight w:val="371"/>
        </w:trPr>
        <w:tc>
          <w:tcPr>
            <w:tcW w:w="643" w:type="dxa"/>
            <w:shd w:val="clear" w:color="auto" w:fill="D6E3BC" w:themeFill="accent3" w:themeFillTint="66"/>
            <w:hideMark/>
          </w:tcPr>
          <w:p w:rsidR="001A4AA7" w:rsidRPr="00F55A9C" w:rsidRDefault="00884E7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/>
              </w:rPr>
            </w:pPr>
            <w:r w:rsidRPr="00F55A9C">
              <w:rPr>
                <w:rFonts w:ascii="Arial" w:hAnsi="Arial" w:cs="Arial"/>
                <w:b/>
                <w:bCs/>
                <w:kern w:val="24"/>
                <w:lang w:val="en-US"/>
              </w:rPr>
              <w:t>SN</w:t>
            </w:r>
          </w:p>
        </w:tc>
        <w:tc>
          <w:tcPr>
            <w:tcW w:w="1805" w:type="dxa"/>
            <w:shd w:val="clear" w:color="auto" w:fill="D6E3BC" w:themeFill="accent3" w:themeFillTint="66"/>
            <w:hideMark/>
          </w:tcPr>
          <w:p w:rsidR="001A4AA7" w:rsidRPr="00F55A9C" w:rsidRDefault="00884E79" w:rsidP="00884E79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</w:rPr>
            </w:pPr>
            <w:r w:rsidRPr="00F55A9C">
              <w:rPr>
                <w:rFonts w:ascii="Arial" w:hAnsi="Arial" w:cs="Arial"/>
                <w:b/>
                <w:bCs/>
                <w:kern w:val="24"/>
                <w:lang w:val="en-US"/>
              </w:rPr>
              <w:t xml:space="preserve">Action </w:t>
            </w:r>
            <w:r w:rsidR="00804375" w:rsidRPr="00F55A9C">
              <w:rPr>
                <w:rFonts w:ascii="Arial" w:hAnsi="Arial" w:cs="Arial"/>
                <w:b/>
                <w:bCs/>
                <w:kern w:val="24"/>
                <w:lang w:val="en-US"/>
              </w:rPr>
              <w:t>by</w:t>
            </w:r>
          </w:p>
        </w:tc>
        <w:tc>
          <w:tcPr>
            <w:tcW w:w="2845" w:type="dxa"/>
            <w:shd w:val="clear" w:color="auto" w:fill="D6E3BC" w:themeFill="accent3" w:themeFillTint="66"/>
            <w:hideMark/>
          </w:tcPr>
          <w:p w:rsidR="001A4AA7" w:rsidRPr="00F55A9C" w:rsidRDefault="00884E79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</w:rPr>
            </w:pPr>
            <w:r w:rsidRPr="00F55A9C">
              <w:rPr>
                <w:rFonts w:ascii="Arial" w:hAnsi="Arial" w:cs="Arial"/>
                <w:b/>
                <w:bCs/>
                <w:kern w:val="24"/>
                <w:lang w:val="en-US"/>
              </w:rPr>
              <w:t>Issue</w:t>
            </w:r>
          </w:p>
        </w:tc>
        <w:tc>
          <w:tcPr>
            <w:tcW w:w="4926" w:type="dxa"/>
            <w:shd w:val="clear" w:color="auto" w:fill="D6E3BC" w:themeFill="accent3" w:themeFillTint="66"/>
            <w:hideMark/>
          </w:tcPr>
          <w:p w:rsidR="001A4AA7" w:rsidRPr="00F55A9C" w:rsidRDefault="00884E79" w:rsidP="00884E79">
            <w:pPr>
              <w:pStyle w:val="NormalWeb"/>
              <w:tabs>
                <w:tab w:val="left" w:pos="5700"/>
              </w:tabs>
              <w:spacing w:before="0" w:beforeAutospacing="0" w:after="0" w:afterAutospacing="0"/>
              <w:textAlignment w:val="top"/>
              <w:rPr>
                <w:rFonts w:ascii="Arial" w:hAnsi="Arial" w:cs="Arial"/>
                <w:b/>
              </w:rPr>
            </w:pPr>
            <w:r w:rsidRPr="00F55A9C">
              <w:rPr>
                <w:rFonts w:ascii="Arial" w:hAnsi="Arial" w:cs="Arial"/>
                <w:b/>
                <w:bCs/>
                <w:kern w:val="24"/>
                <w:lang w:val="en-US"/>
              </w:rPr>
              <w:t>Remark</w:t>
            </w:r>
          </w:p>
        </w:tc>
      </w:tr>
      <w:tr w:rsidR="00884E79" w:rsidRPr="009F1A10" w:rsidTr="00DE5729">
        <w:trPr>
          <w:trHeight w:val="612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1A4AA7" w:rsidRPr="009F1A10" w:rsidRDefault="001A4AA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1A4AA7" w:rsidRPr="009F1A10" w:rsidRDefault="00C84028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</w:t>
            </w:r>
            <w:r w:rsidR="002244A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ISCOMs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1A4AA7" w:rsidRPr="009F1A10" w:rsidRDefault="001A4AA7" w:rsidP="001A4AA7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Online Application for New connection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1A4AA7" w:rsidRPr="009F1A10" w:rsidRDefault="001A4AA7" w:rsidP="001A4AA7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Online service for applying new connection has been developed and available at </w:t>
            </w:r>
            <w:hyperlink r:id="rId7" w:history="1">
              <w:r w:rsidR="00C84028" w:rsidRPr="009F1A10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>www.bsesdelhi.com</w:t>
              </w:r>
            </w:hyperlink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9F1A10" w:rsidRPr="009F1A10" w:rsidTr="00DE5729">
        <w:trPr>
          <w:trHeight w:val="652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9F1A10" w:rsidRPr="009F1A10" w:rsidRDefault="009F1A10" w:rsidP="006235C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9F1A10" w:rsidRPr="009F1A10" w:rsidRDefault="002244A9" w:rsidP="006235CF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ISCOMs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9F1A10" w:rsidRPr="009F1A10" w:rsidRDefault="009F1A10" w:rsidP="006235CF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Reduction in number of procedures &amp; time for getting a new connections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9F1A10" w:rsidRPr="009F1A10" w:rsidRDefault="009F1A10" w:rsidP="00CC364C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Internal processes have been strengthened to release connections within timeline stipulated in regulation with the consideration of reduction in procedure for obtaining connections to three numbers namely,</w:t>
            </w:r>
          </w:p>
          <w:p w:rsidR="009F1A10" w:rsidRPr="00CC364C" w:rsidRDefault="009F1A10" w:rsidP="00CC364C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eastAsia="Times New Roman" w:hAnsi="Arial" w:cs="Arial"/>
                <w:lang w:eastAsia="en-IN"/>
              </w:rPr>
            </w:pPr>
            <w:r w:rsidRPr="00CC364C">
              <w:rPr>
                <w:rFonts w:ascii="Arial" w:eastAsia="Times New Roman" w:hAnsi="Arial" w:cs="Arial"/>
                <w:lang w:eastAsia="en-IN"/>
              </w:rPr>
              <w:t>Online submission of application to utility &amp; site inspection conducted (4  Days)</w:t>
            </w:r>
          </w:p>
          <w:p w:rsidR="009F1A10" w:rsidRPr="00CC364C" w:rsidRDefault="009F1A10" w:rsidP="00CC364C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eastAsia="Times New Roman" w:hAnsi="Arial" w:cs="Arial"/>
                <w:lang w:eastAsia="en-IN"/>
              </w:rPr>
            </w:pPr>
            <w:r w:rsidRPr="00CC364C">
              <w:rPr>
                <w:rFonts w:ascii="Arial" w:eastAsia="Times New Roman" w:hAnsi="Arial" w:cs="Arial"/>
                <w:lang w:eastAsia="en-IN"/>
              </w:rPr>
              <w:t xml:space="preserve">Load sanction &amp; Demand note generation </w:t>
            </w:r>
          </w:p>
          <w:p w:rsidR="009F1A10" w:rsidRPr="009F1A10" w:rsidRDefault="009F1A10" w:rsidP="00CC364C">
            <w:pPr>
              <w:pStyle w:val="ListParagraph"/>
              <w:textAlignment w:val="baseline"/>
              <w:rPr>
                <w:rFonts w:ascii="Arial" w:eastAsia="Times New Roman" w:hAnsi="Arial" w:cs="Arial"/>
                <w:lang w:eastAsia="en-IN"/>
              </w:rPr>
            </w:pPr>
            <w:r w:rsidRPr="009F1A10">
              <w:rPr>
                <w:rFonts w:ascii="Arial" w:eastAsia="Times New Roman" w:hAnsi="Arial" w:cs="Arial"/>
                <w:lang w:eastAsia="en-IN"/>
              </w:rPr>
              <w:t>( 2 Days)</w:t>
            </w:r>
          </w:p>
          <w:p w:rsidR="009F1A10" w:rsidRPr="00CC364C" w:rsidRDefault="009F1A10" w:rsidP="00CC364C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eastAsia="Times New Roman" w:hAnsi="Arial" w:cs="Arial"/>
                <w:lang w:eastAsia="en-IN"/>
              </w:rPr>
            </w:pPr>
            <w:r w:rsidRPr="00CC364C">
              <w:rPr>
                <w:rFonts w:ascii="Arial" w:eastAsia="Times New Roman" w:hAnsi="Arial" w:cs="Arial"/>
                <w:lang w:eastAsia="en-IN"/>
              </w:rPr>
              <w:t>Utility conducts external connection and meter installation (1 Day w/o RoW &amp; 9 days with RoW)</w:t>
            </w:r>
          </w:p>
        </w:tc>
      </w:tr>
      <w:tr w:rsidR="009F1A10" w:rsidRPr="009F1A10" w:rsidTr="00DE5729">
        <w:trPr>
          <w:trHeight w:val="589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jc w:val="center"/>
              <w:textAlignment w:val="top"/>
              <w:rPr>
                <w:rFonts w:ascii="Arial" w:eastAsia="Times New Roman" w:hAnsi="Arial" w:cs="Arial"/>
                <w:lang w:eastAsia="en-IN"/>
              </w:rPr>
            </w:pPr>
            <w:r w:rsidRPr="009F1A10"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  <w:t>3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eastAsia="Times New Roman" w:hAnsi="Arial" w:cs="Arial"/>
                <w:lang w:eastAsia="en-IN"/>
              </w:rPr>
            </w:pPr>
            <w:r w:rsidRPr="009F1A10"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  <w:t>GoNCTD/DERC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eastAsia="Times New Roman" w:hAnsi="Arial" w:cs="Arial"/>
                <w:lang w:eastAsia="en-IN"/>
              </w:rPr>
            </w:pPr>
            <w:r w:rsidRPr="009F1A10"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  <w:t xml:space="preserve">Simplification of forms and Self attestation/ declaration &amp; requirement of only two documents 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</w:pPr>
            <w:r w:rsidRPr="009F1A10"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  <w:t xml:space="preserve">GoNCTD has notified Self declaration in Dec-2015. </w:t>
            </w:r>
          </w:p>
          <w:p w:rsidR="009F1A10" w:rsidRPr="009F1A10" w:rsidRDefault="009F1A10" w:rsidP="009A53C3">
            <w:pPr>
              <w:textAlignment w:val="top"/>
              <w:rPr>
                <w:rFonts w:ascii="Arial" w:eastAsia="Times New Roman" w:hAnsi="Arial" w:cs="Arial"/>
                <w:lang w:eastAsia="en-IN"/>
              </w:rPr>
            </w:pPr>
            <w:r w:rsidRPr="009F1A10"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  <w:t>DERC has notified amendment to supply code for simplifying document requirement to Two. Application form has also been revised accordingly.</w:t>
            </w:r>
          </w:p>
        </w:tc>
      </w:tr>
      <w:tr w:rsidR="009F1A10" w:rsidRPr="009F1A10" w:rsidTr="00DE5729">
        <w:trPr>
          <w:trHeight w:val="1123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DERC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NEW SUPPLY CODE &amp; REGULATION 2017 – New Connection Time Lines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 xml:space="preserve">DERC notified new supply code &amp; regulation applicable w.e.f. 01.09.2017, the highlights of new supply code &amp; regulation 2017 is </w:t>
            </w:r>
          </w:p>
          <w:p w:rsidR="009F1A10" w:rsidRPr="009F1A10" w:rsidRDefault="009F1A10" w:rsidP="009A53C3">
            <w:pPr>
              <w:pStyle w:val="ListParagraph"/>
              <w:numPr>
                <w:ilvl w:val="0"/>
                <w:numId w:val="24"/>
              </w:numPr>
              <w:textAlignment w:val="top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Reduction in Timelines for processing of new connection i.e. for new connection where ROW is not required is to be provided within 7 days</w:t>
            </w:r>
          </w:p>
          <w:p w:rsidR="009F1A10" w:rsidRPr="009F1A10" w:rsidRDefault="009F1A10" w:rsidP="009A53C3">
            <w:pPr>
              <w:pStyle w:val="ListParagraph"/>
              <w:numPr>
                <w:ilvl w:val="0"/>
                <w:numId w:val="24"/>
              </w:numPr>
              <w:textAlignment w:val="top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Mandatory online application for load &gt;50 kVA</w:t>
            </w:r>
          </w:p>
        </w:tc>
      </w:tr>
      <w:tr w:rsidR="009F1A10" w:rsidRPr="009F1A10" w:rsidTr="00DE5729">
        <w:trPr>
          <w:trHeight w:val="891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 xml:space="preserve">DERC 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NEW SUPPLY CODE &amp; REGULATION 2017 – Reduction in SLDC Charges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Reduction in SLDC rates of new connection i.e for load requirement up to 150 kW on LT supply in electrified area is fixed to Rs.25, 000/- in addition to road Restoration charges on actual basis.</w:t>
            </w:r>
          </w:p>
        </w:tc>
      </w:tr>
      <w:tr w:rsidR="009F1A10" w:rsidRPr="009F1A10" w:rsidTr="00DE5729">
        <w:trPr>
          <w:trHeight w:val="996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</w:pPr>
            <w:r w:rsidRPr="009F1A10"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  <w:t>6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9F1A10" w:rsidRPr="009F1A10" w:rsidRDefault="002244A9" w:rsidP="009A53C3">
            <w:pPr>
              <w:textAlignment w:val="top"/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</w:pPr>
            <w:r w:rsidRPr="009F1A10">
              <w:rPr>
                <w:rFonts w:ascii="Arial" w:hAnsi="Arial" w:cs="Arial"/>
                <w:color w:val="000000"/>
                <w:kern w:val="24"/>
              </w:rPr>
              <w:t>D</w:t>
            </w:r>
            <w:r>
              <w:rPr>
                <w:rFonts w:ascii="Arial" w:hAnsi="Arial" w:cs="Arial"/>
                <w:color w:val="000000"/>
                <w:kern w:val="24"/>
              </w:rPr>
              <w:t>ISCOMs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</w:pPr>
            <w:r w:rsidRPr="009F1A10"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  <w:t>Reduction in SAIDI/SAIFI by 20%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</w:pPr>
            <w:r w:rsidRPr="009F1A10"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  <w:t xml:space="preserve">As directed by MoP, reduction of 10% in SAIDI &amp; SAIFI was recommended. </w:t>
            </w:r>
          </w:p>
        </w:tc>
      </w:tr>
      <w:tr w:rsidR="009F1A10" w:rsidRPr="009F1A10" w:rsidTr="00DE5729">
        <w:trPr>
          <w:trHeight w:val="1624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CEA/ GoNCTD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NOC from Electrical Inspector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CEA has notified appropriate amendments in CEA Safety Measures 2010 to empower Appropriate Government to issue notification for Self Certification by consumer/DISCOM. GoNCTD has further notified self certification for DISCOM’s installations up to 33 kV in place of current 650 V.</w:t>
            </w:r>
          </w:p>
        </w:tc>
      </w:tr>
      <w:tr w:rsidR="009F1A10" w:rsidRPr="009F1A10" w:rsidTr="00DE5729">
        <w:trPr>
          <w:trHeight w:val="769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10">
              <w:rPr>
                <w:rFonts w:ascii="Arial" w:hAnsi="Arial" w:cs="Arial"/>
                <w:color w:val="000000"/>
              </w:rPr>
              <w:t>DERC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</w:pPr>
            <w:r w:rsidRPr="009F1A10">
              <w:rPr>
                <w:rFonts w:ascii="Arial" w:hAnsi="Arial" w:cs="Arial"/>
                <w:color w:val="000000"/>
              </w:rPr>
              <w:t>Mandatory online application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</w:pPr>
            <w:r w:rsidRPr="009F1A10">
              <w:rPr>
                <w:rFonts w:ascii="Arial" w:hAnsi="Arial" w:cs="Arial"/>
                <w:color w:val="000000"/>
              </w:rPr>
              <w:t>DERC issued guidelines vide letter No. F.17 (230)/Engg/ DERC/2016-17/5662/196 dated 24.4.2017 that all the LT new connection load having load category above 100 KVA be applied through online mode only.  Applicant may apply connection through our website. www.bsesdelhi.com</w:t>
            </w:r>
          </w:p>
        </w:tc>
      </w:tr>
      <w:tr w:rsidR="009F1A10" w:rsidRPr="009F1A10" w:rsidTr="00DE5729">
        <w:trPr>
          <w:trHeight w:val="589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DERC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Modification in Application Form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9F1A10">
              <w:rPr>
                <w:rFonts w:ascii="Arial" w:hAnsi="Arial" w:cs="Arial"/>
                <w:color w:val="000000"/>
              </w:rPr>
              <w:t>DERC vide its letter No. F.17(230)/Engg/DERC/2016-17/5662/195 dated 24.4.2017 has issued a revised application form .</w:t>
            </w:r>
          </w:p>
        </w:tc>
      </w:tr>
      <w:tr w:rsidR="009F1A10" w:rsidRPr="009F1A10" w:rsidTr="00DE5729">
        <w:trPr>
          <w:trHeight w:val="589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9F1A10" w:rsidRPr="009F1A10" w:rsidRDefault="002244A9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ISCOMs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Online Acceptance of Demand Note for New Connections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9F1A10" w:rsidRPr="009F1A10" w:rsidRDefault="009F1A10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Online service for payment of new connection charges  has been developed and available at </w:t>
            </w:r>
            <w:hyperlink r:id="rId8" w:history="1">
              <w:r w:rsidRPr="009F1A10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</w:rPr>
                <w:t>www.bsesdelhi.com</w:t>
              </w:r>
            </w:hyperlink>
          </w:p>
        </w:tc>
      </w:tr>
      <w:tr w:rsidR="002244A9" w:rsidRPr="009F1A10" w:rsidTr="00DE5729">
        <w:trPr>
          <w:trHeight w:val="589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11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DERC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Change in Supply Code to facilitate reduction in cost and time 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DERC vide its amendment in Supply Code has notified the reduction in cost and time for new connection. DERC has also notified fixed Service line &amp; development charges for connections up to 200 kW on LT level</w:t>
            </w:r>
          </w:p>
        </w:tc>
      </w:tr>
      <w:tr w:rsidR="002244A9" w:rsidRPr="009F1A10" w:rsidTr="00DE5729">
        <w:trPr>
          <w:trHeight w:val="589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12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textAlignment w:val="top"/>
              <w:rPr>
                <w:rFonts w:ascii="Arial" w:eastAsia="Times New Roman" w:hAnsi="Arial" w:cs="Arial"/>
                <w:lang w:eastAsia="en-IN"/>
              </w:rPr>
            </w:pPr>
            <w:r w:rsidRPr="009F1A10"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  <w:t>DERC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textAlignment w:val="top"/>
              <w:rPr>
                <w:rFonts w:ascii="Arial" w:eastAsia="Times New Roman" w:hAnsi="Arial" w:cs="Arial"/>
                <w:lang w:eastAsia="en-IN"/>
              </w:rPr>
            </w:pPr>
            <w:r w:rsidRPr="009F1A10">
              <w:rPr>
                <w:rFonts w:ascii="Arial" w:eastAsia="Times New Roman" w:hAnsi="Arial" w:cs="Arial"/>
                <w:color w:val="000000"/>
                <w:kern w:val="24"/>
                <w:lang w:val="pl-PL" w:eastAsia="en-IN"/>
              </w:rPr>
              <w:t>LT Tariff upto 140 kW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textAlignment w:val="top"/>
              <w:rPr>
                <w:rFonts w:ascii="Arial" w:eastAsia="Times New Roman" w:hAnsi="Arial" w:cs="Arial"/>
                <w:lang w:eastAsia="en-IN"/>
              </w:rPr>
            </w:pPr>
            <w:r w:rsidRPr="009F1A10">
              <w:rPr>
                <w:rFonts w:ascii="Arial" w:eastAsia="Times New Roman" w:hAnsi="Arial" w:cs="Arial"/>
                <w:color w:val="000000"/>
                <w:kern w:val="24"/>
                <w:lang w:eastAsia="en-IN"/>
              </w:rPr>
              <w:t xml:space="preserve">Currently 100 to 200 kW load is optional on LT or HT. The tariff up to 140 kW has been notified in Tariff Order dated 23.10.2015. </w:t>
            </w:r>
          </w:p>
        </w:tc>
      </w:tr>
      <w:tr w:rsidR="002244A9" w:rsidRPr="009F1A10" w:rsidTr="00DE5729">
        <w:trPr>
          <w:trHeight w:val="589"/>
        </w:trPr>
        <w:tc>
          <w:tcPr>
            <w:tcW w:w="643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US"/>
              </w:rPr>
              <w:t>13</w:t>
            </w:r>
          </w:p>
        </w:tc>
        <w:tc>
          <w:tcPr>
            <w:tcW w:w="1805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CEA / GOI</w:t>
            </w:r>
          </w:p>
        </w:tc>
        <w:tc>
          <w:tcPr>
            <w:tcW w:w="2845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Pole mounted transformer capacity needs to be enhanced from 250 KVA to 500 KVA</w:t>
            </w:r>
          </w:p>
        </w:tc>
        <w:tc>
          <w:tcPr>
            <w:tcW w:w="4926" w:type="dxa"/>
            <w:shd w:val="clear" w:color="auto" w:fill="FDE9D9" w:themeFill="accent6" w:themeFillTint="33"/>
            <w:hideMark/>
          </w:tcPr>
          <w:p w:rsidR="002244A9" w:rsidRPr="009F1A10" w:rsidRDefault="002244A9" w:rsidP="009A53C3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9F1A1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CEA has notified Central Electricity Authority (Technical Standards for Construction of Electrical Plants and Electric Lines), Amendment Regulation 2014 </w:t>
            </w:r>
          </w:p>
        </w:tc>
      </w:tr>
    </w:tbl>
    <w:p w:rsidR="00D75CA5" w:rsidRPr="009F1A10" w:rsidRDefault="00D75CA5" w:rsidP="009A53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:rsidR="008069D8" w:rsidRPr="009A53C3" w:rsidRDefault="008069D8" w:rsidP="004913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C1FB5" w:rsidRPr="009A53C3" w:rsidRDefault="004C1FB5" w:rsidP="00DE5729">
      <w:pPr>
        <w:shd w:val="clear" w:color="auto" w:fill="D6E3BC" w:themeFill="accent3" w:themeFillTint="66"/>
        <w:rPr>
          <w:rFonts w:ascii="Arial" w:hAnsi="Arial" w:cs="Arial"/>
          <w:u w:val="single"/>
        </w:rPr>
      </w:pPr>
      <w:r w:rsidRPr="009A53C3">
        <w:rPr>
          <w:rFonts w:ascii="Arial" w:hAnsi="Arial" w:cs="Arial"/>
          <w:bCs/>
          <w:u w:val="single"/>
        </w:rPr>
        <w:t>To Apply for New Connection Link “</w:t>
      </w:r>
      <w:hyperlink r:id="rId9" w:history="1">
        <w:r w:rsidRPr="009A53C3">
          <w:rPr>
            <w:rFonts w:ascii="Arial" w:hAnsi="Arial" w:cs="Arial"/>
            <w:bCs/>
            <w:color w:val="0000FF"/>
            <w:u w:val="single"/>
          </w:rPr>
          <w:t>http://115.249.67.71:7890/web_dss/frmDSS.aspx?err=so</w:t>
        </w:r>
      </w:hyperlink>
      <w:r w:rsidRPr="009A53C3">
        <w:rPr>
          <w:rFonts w:ascii="Arial" w:hAnsi="Arial" w:cs="Arial"/>
          <w:bCs/>
          <w:u w:val="single"/>
        </w:rPr>
        <w:t>”</w:t>
      </w:r>
    </w:p>
    <w:p w:rsidR="004C1FB5" w:rsidRPr="009F1A10" w:rsidRDefault="004C1FB5" w:rsidP="004913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:rsidR="002307DB" w:rsidRPr="009F1A10" w:rsidRDefault="002307DB" w:rsidP="004913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sectPr w:rsidR="002307DB" w:rsidRPr="009F1A10" w:rsidSect="00A34DE5">
      <w:headerReference w:type="default" r:id="rId10"/>
      <w:footerReference w:type="default" r:id="rId11"/>
      <w:pgSz w:w="11906" w:h="16838" w:code="9"/>
      <w:pgMar w:top="1021" w:right="851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B8" w:rsidRDefault="00AD0BB8" w:rsidP="00BC308B">
      <w:pPr>
        <w:spacing w:after="0" w:line="240" w:lineRule="auto"/>
      </w:pPr>
      <w:r>
        <w:separator/>
      </w:r>
    </w:p>
  </w:endnote>
  <w:endnote w:type="continuationSeparator" w:id="1">
    <w:p w:rsidR="00AD0BB8" w:rsidRDefault="00AD0BB8" w:rsidP="00BC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5905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550D0" w:rsidRDefault="006D2E2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E5729" w:rsidRPr="00DE5729">
            <w:rPr>
              <w:b/>
              <w:noProof/>
            </w:rPr>
            <w:t>1</w:t>
          </w:r>
        </w:fldSimple>
        <w:r w:rsidR="00B550D0">
          <w:rPr>
            <w:b/>
          </w:rPr>
          <w:t xml:space="preserve"> | </w:t>
        </w:r>
        <w:r w:rsidR="00B550D0">
          <w:rPr>
            <w:color w:val="7F7F7F" w:themeColor="background1" w:themeShade="7F"/>
            <w:spacing w:val="60"/>
          </w:rPr>
          <w:t>Page</w:t>
        </w:r>
      </w:p>
    </w:sdtContent>
  </w:sdt>
  <w:p w:rsidR="00B550D0" w:rsidRDefault="00B55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B8" w:rsidRDefault="00AD0BB8" w:rsidP="00BC308B">
      <w:pPr>
        <w:spacing w:after="0" w:line="240" w:lineRule="auto"/>
      </w:pPr>
      <w:r>
        <w:separator/>
      </w:r>
    </w:p>
  </w:footnote>
  <w:footnote w:type="continuationSeparator" w:id="1">
    <w:p w:rsidR="00AD0BB8" w:rsidRDefault="00AD0BB8" w:rsidP="00BC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65" w:rsidRDefault="007E2B65">
    <w:pPr>
      <w:pStyle w:val="Header"/>
    </w:pPr>
    <w:r>
      <w:ptab w:relativeTo="margin" w:alignment="center" w:leader="none"/>
    </w:r>
    <w:r>
      <w:rPr>
        <w:noProof/>
        <w:lang w:eastAsia="en-IN"/>
      </w:rPr>
      <w:drawing>
        <wp:inline distT="0" distB="0" distL="0" distR="0">
          <wp:extent cx="1609725" cy="550233"/>
          <wp:effectExtent l="19050" t="0" r="9525" b="0"/>
          <wp:docPr id="1" name="Picture 1" descr="C:\Users\MAINPA~1\AppData\Local\Temp\notes87944B\BS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NPA~1\AppData\Local\Temp\notes87944B\BSE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490" cy="551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382"/>
    <w:multiLevelType w:val="hybridMultilevel"/>
    <w:tmpl w:val="3528B540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222A"/>
    <w:multiLevelType w:val="hybridMultilevel"/>
    <w:tmpl w:val="E0A6F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2575"/>
    <w:multiLevelType w:val="hybridMultilevel"/>
    <w:tmpl w:val="8EF602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B0FB0"/>
    <w:multiLevelType w:val="hybridMultilevel"/>
    <w:tmpl w:val="A2181F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B7D34"/>
    <w:multiLevelType w:val="hybridMultilevel"/>
    <w:tmpl w:val="62F4C2CE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5495F85"/>
    <w:multiLevelType w:val="hybridMultilevel"/>
    <w:tmpl w:val="992A7D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40801"/>
    <w:multiLevelType w:val="hybridMultilevel"/>
    <w:tmpl w:val="3528B540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0CEE"/>
    <w:multiLevelType w:val="hybridMultilevel"/>
    <w:tmpl w:val="8EC492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FD61BD"/>
    <w:multiLevelType w:val="hybridMultilevel"/>
    <w:tmpl w:val="93C0C6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A0D44"/>
    <w:multiLevelType w:val="hybridMultilevel"/>
    <w:tmpl w:val="C93476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362E"/>
    <w:multiLevelType w:val="hybridMultilevel"/>
    <w:tmpl w:val="5E3CC1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31AD0"/>
    <w:multiLevelType w:val="multilevel"/>
    <w:tmpl w:val="9306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158E0"/>
    <w:multiLevelType w:val="hybridMultilevel"/>
    <w:tmpl w:val="9EC465E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3932EB"/>
    <w:multiLevelType w:val="multilevel"/>
    <w:tmpl w:val="39FE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F2D2D"/>
    <w:multiLevelType w:val="hybridMultilevel"/>
    <w:tmpl w:val="647088A8"/>
    <w:lvl w:ilvl="0" w:tplc="6B003F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E1DF3"/>
    <w:multiLevelType w:val="hybridMultilevel"/>
    <w:tmpl w:val="08B2DB9A"/>
    <w:lvl w:ilvl="0" w:tplc="4194269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172CE"/>
    <w:multiLevelType w:val="hybridMultilevel"/>
    <w:tmpl w:val="49A0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84513"/>
    <w:multiLevelType w:val="hybridMultilevel"/>
    <w:tmpl w:val="7FD81FA4"/>
    <w:lvl w:ilvl="0" w:tplc="630646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895E2D"/>
    <w:multiLevelType w:val="hybridMultilevel"/>
    <w:tmpl w:val="3A9616E2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391B7F"/>
    <w:multiLevelType w:val="hybridMultilevel"/>
    <w:tmpl w:val="109C6D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938EE"/>
    <w:multiLevelType w:val="hybridMultilevel"/>
    <w:tmpl w:val="096A644C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FC77A8B"/>
    <w:multiLevelType w:val="hybridMultilevel"/>
    <w:tmpl w:val="C1825178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BD6127"/>
    <w:multiLevelType w:val="hybridMultilevel"/>
    <w:tmpl w:val="222C4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A26C9"/>
    <w:multiLevelType w:val="hybridMultilevel"/>
    <w:tmpl w:val="88686434"/>
    <w:lvl w:ilvl="0" w:tplc="459025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144929"/>
    <w:multiLevelType w:val="hybridMultilevel"/>
    <w:tmpl w:val="73C83DE0"/>
    <w:lvl w:ilvl="0" w:tplc="40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8"/>
  </w:num>
  <w:num w:numId="5">
    <w:abstractNumId w:val="4"/>
  </w:num>
  <w:num w:numId="6">
    <w:abstractNumId w:val="6"/>
  </w:num>
  <w:num w:numId="7">
    <w:abstractNumId w:val="24"/>
  </w:num>
  <w:num w:numId="8">
    <w:abstractNumId w:val="1"/>
  </w:num>
  <w:num w:numId="9">
    <w:abstractNumId w:val="19"/>
  </w:num>
  <w:num w:numId="10">
    <w:abstractNumId w:val="0"/>
  </w:num>
  <w:num w:numId="11">
    <w:abstractNumId w:val="9"/>
  </w:num>
  <w:num w:numId="12">
    <w:abstractNumId w:val="23"/>
  </w:num>
  <w:num w:numId="13">
    <w:abstractNumId w:val="17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7"/>
  </w:num>
  <w:num w:numId="19">
    <w:abstractNumId w:val="10"/>
  </w:num>
  <w:num w:numId="20">
    <w:abstractNumId w:val="20"/>
  </w:num>
  <w:num w:numId="21">
    <w:abstractNumId w:val="22"/>
  </w:num>
  <w:num w:numId="22">
    <w:abstractNumId w:val="13"/>
  </w:num>
  <w:num w:numId="23">
    <w:abstractNumId w:val="8"/>
  </w:num>
  <w:num w:numId="24">
    <w:abstractNumId w:val="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4D2AC2"/>
    <w:rsid w:val="000050B1"/>
    <w:rsid w:val="00040E57"/>
    <w:rsid w:val="00066C89"/>
    <w:rsid w:val="000A5AC6"/>
    <w:rsid w:val="000A61C1"/>
    <w:rsid w:val="000B1D58"/>
    <w:rsid w:val="000C0386"/>
    <w:rsid w:val="000C2292"/>
    <w:rsid w:val="000E3413"/>
    <w:rsid w:val="00107A3A"/>
    <w:rsid w:val="001122BB"/>
    <w:rsid w:val="00131BC5"/>
    <w:rsid w:val="00155F0B"/>
    <w:rsid w:val="00165BF5"/>
    <w:rsid w:val="00184D4C"/>
    <w:rsid w:val="00194563"/>
    <w:rsid w:val="001A4557"/>
    <w:rsid w:val="001A46C0"/>
    <w:rsid w:val="001A4AA7"/>
    <w:rsid w:val="001B1AC0"/>
    <w:rsid w:val="001B4459"/>
    <w:rsid w:val="001C4362"/>
    <w:rsid w:val="00221AC1"/>
    <w:rsid w:val="002244A9"/>
    <w:rsid w:val="00224595"/>
    <w:rsid w:val="0022675E"/>
    <w:rsid w:val="002307DB"/>
    <w:rsid w:val="00235283"/>
    <w:rsid w:val="00235598"/>
    <w:rsid w:val="00237A4A"/>
    <w:rsid w:val="00245362"/>
    <w:rsid w:val="00252FDF"/>
    <w:rsid w:val="002B1C82"/>
    <w:rsid w:val="002B1C83"/>
    <w:rsid w:val="002B55CF"/>
    <w:rsid w:val="002B78A4"/>
    <w:rsid w:val="002F2825"/>
    <w:rsid w:val="002F5AD5"/>
    <w:rsid w:val="00302C8A"/>
    <w:rsid w:val="00324191"/>
    <w:rsid w:val="003310E6"/>
    <w:rsid w:val="00337129"/>
    <w:rsid w:val="003729FA"/>
    <w:rsid w:val="00377311"/>
    <w:rsid w:val="00383595"/>
    <w:rsid w:val="00385BB2"/>
    <w:rsid w:val="00396895"/>
    <w:rsid w:val="003B6BF5"/>
    <w:rsid w:val="003C31B1"/>
    <w:rsid w:val="003D2E79"/>
    <w:rsid w:val="00441E80"/>
    <w:rsid w:val="004554D4"/>
    <w:rsid w:val="00462384"/>
    <w:rsid w:val="004913CD"/>
    <w:rsid w:val="004C1FB5"/>
    <w:rsid w:val="004D2AC2"/>
    <w:rsid w:val="004D32CD"/>
    <w:rsid w:val="004D7555"/>
    <w:rsid w:val="004D7861"/>
    <w:rsid w:val="00512A3A"/>
    <w:rsid w:val="0053394B"/>
    <w:rsid w:val="00540AB9"/>
    <w:rsid w:val="00565C71"/>
    <w:rsid w:val="005909C4"/>
    <w:rsid w:val="005C4CBE"/>
    <w:rsid w:val="005E1294"/>
    <w:rsid w:val="005F1C98"/>
    <w:rsid w:val="005F48DA"/>
    <w:rsid w:val="00602504"/>
    <w:rsid w:val="006109BF"/>
    <w:rsid w:val="00613FFA"/>
    <w:rsid w:val="00620EF2"/>
    <w:rsid w:val="0062297C"/>
    <w:rsid w:val="00631B44"/>
    <w:rsid w:val="006340FB"/>
    <w:rsid w:val="006561E1"/>
    <w:rsid w:val="00662B46"/>
    <w:rsid w:val="006B42DF"/>
    <w:rsid w:val="006C0897"/>
    <w:rsid w:val="006C3714"/>
    <w:rsid w:val="006D2E2D"/>
    <w:rsid w:val="007236B8"/>
    <w:rsid w:val="0074691B"/>
    <w:rsid w:val="007D2F58"/>
    <w:rsid w:val="007E2B65"/>
    <w:rsid w:val="007E6DC6"/>
    <w:rsid w:val="007F0E89"/>
    <w:rsid w:val="00800D19"/>
    <w:rsid w:val="00804375"/>
    <w:rsid w:val="008069D8"/>
    <w:rsid w:val="00820419"/>
    <w:rsid w:val="008309AC"/>
    <w:rsid w:val="0086141E"/>
    <w:rsid w:val="00865080"/>
    <w:rsid w:val="00867863"/>
    <w:rsid w:val="008770F0"/>
    <w:rsid w:val="00881E67"/>
    <w:rsid w:val="00884E79"/>
    <w:rsid w:val="00894B86"/>
    <w:rsid w:val="008D6D9F"/>
    <w:rsid w:val="008F2AB3"/>
    <w:rsid w:val="009016B3"/>
    <w:rsid w:val="00907507"/>
    <w:rsid w:val="00956D9C"/>
    <w:rsid w:val="009660EF"/>
    <w:rsid w:val="00972EF8"/>
    <w:rsid w:val="0099039C"/>
    <w:rsid w:val="0099730F"/>
    <w:rsid w:val="009A53C3"/>
    <w:rsid w:val="009A7022"/>
    <w:rsid w:val="009F1A10"/>
    <w:rsid w:val="00A03BEC"/>
    <w:rsid w:val="00A34DE5"/>
    <w:rsid w:val="00A575EF"/>
    <w:rsid w:val="00A6221B"/>
    <w:rsid w:val="00A6735C"/>
    <w:rsid w:val="00A75D90"/>
    <w:rsid w:val="00A86896"/>
    <w:rsid w:val="00A87FD1"/>
    <w:rsid w:val="00AA5C03"/>
    <w:rsid w:val="00AD0BB8"/>
    <w:rsid w:val="00AD2DEB"/>
    <w:rsid w:val="00AD559B"/>
    <w:rsid w:val="00AE025F"/>
    <w:rsid w:val="00AF6EAB"/>
    <w:rsid w:val="00B242BC"/>
    <w:rsid w:val="00B2794B"/>
    <w:rsid w:val="00B33014"/>
    <w:rsid w:val="00B44C1C"/>
    <w:rsid w:val="00B550D0"/>
    <w:rsid w:val="00B64A8E"/>
    <w:rsid w:val="00B650CB"/>
    <w:rsid w:val="00BA3137"/>
    <w:rsid w:val="00BA4075"/>
    <w:rsid w:val="00BA4A12"/>
    <w:rsid w:val="00BC308B"/>
    <w:rsid w:val="00BC6F1D"/>
    <w:rsid w:val="00BD149B"/>
    <w:rsid w:val="00BD1F79"/>
    <w:rsid w:val="00BF6848"/>
    <w:rsid w:val="00C05F55"/>
    <w:rsid w:val="00C1355B"/>
    <w:rsid w:val="00C55897"/>
    <w:rsid w:val="00C62497"/>
    <w:rsid w:val="00C755B1"/>
    <w:rsid w:val="00C84028"/>
    <w:rsid w:val="00C86C77"/>
    <w:rsid w:val="00CB7003"/>
    <w:rsid w:val="00CC2012"/>
    <w:rsid w:val="00CC364C"/>
    <w:rsid w:val="00CC71FF"/>
    <w:rsid w:val="00CF4BD6"/>
    <w:rsid w:val="00D001AF"/>
    <w:rsid w:val="00D03B55"/>
    <w:rsid w:val="00D06A9A"/>
    <w:rsid w:val="00D1430C"/>
    <w:rsid w:val="00D407F7"/>
    <w:rsid w:val="00D42949"/>
    <w:rsid w:val="00D56987"/>
    <w:rsid w:val="00D75CA5"/>
    <w:rsid w:val="00D81D54"/>
    <w:rsid w:val="00D869EA"/>
    <w:rsid w:val="00D90AC5"/>
    <w:rsid w:val="00D947BA"/>
    <w:rsid w:val="00DA6522"/>
    <w:rsid w:val="00DB47BD"/>
    <w:rsid w:val="00DC4B46"/>
    <w:rsid w:val="00DD079E"/>
    <w:rsid w:val="00DE5729"/>
    <w:rsid w:val="00DF0E39"/>
    <w:rsid w:val="00DF1744"/>
    <w:rsid w:val="00E30923"/>
    <w:rsid w:val="00E41C9A"/>
    <w:rsid w:val="00E5788D"/>
    <w:rsid w:val="00E80B14"/>
    <w:rsid w:val="00E8461F"/>
    <w:rsid w:val="00E96831"/>
    <w:rsid w:val="00EA2387"/>
    <w:rsid w:val="00EA5A09"/>
    <w:rsid w:val="00EA6E7C"/>
    <w:rsid w:val="00EB0267"/>
    <w:rsid w:val="00EC5D15"/>
    <w:rsid w:val="00F0468A"/>
    <w:rsid w:val="00F21432"/>
    <w:rsid w:val="00F270C3"/>
    <w:rsid w:val="00F37509"/>
    <w:rsid w:val="00F46858"/>
    <w:rsid w:val="00F51180"/>
    <w:rsid w:val="00F55A9C"/>
    <w:rsid w:val="00FA6BCF"/>
    <w:rsid w:val="00FB1914"/>
    <w:rsid w:val="00FB5B91"/>
    <w:rsid w:val="00FD434C"/>
    <w:rsid w:val="00F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EC"/>
  </w:style>
  <w:style w:type="paragraph" w:styleId="Heading1">
    <w:name w:val="heading 1"/>
    <w:basedOn w:val="Normal"/>
    <w:next w:val="Normal"/>
    <w:link w:val="Heading1Char"/>
    <w:uiPriority w:val="9"/>
    <w:qFormat/>
    <w:rsid w:val="00E41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D0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08B"/>
  </w:style>
  <w:style w:type="paragraph" w:styleId="Footer">
    <w:name w:val="footer"/>
    <w:basedOn w:val="Normal"/>
    <w:link w:val="FooterChar"/>
    <w:uiPriority w:val="99"/>
    <w:unhideWhenUsed/>
    <w:rsid w:val="00BC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8B"/>
  </w:style>
  <w:style w:type="paragraph" w:styleId="Title">
    <w:name w:val="Title"/>
    <w:basedOn w:val="Normal"/>
    <w:next w:val="Normal"/>
    <w:link w:val="TitleChar"/>
    <w:uiPriority w:val="10"/>
    <w:qFormat/>
    <w:rsid w:val="00BC3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02C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A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LightShading-Accent2">
    <w:name w:val="Light Shading Accent 2"/>
    <w:basedOn w:val="TableNormal"/>
    <w:uiPriority w:val="60"/>
    <w:rsid w:val="001A4AA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List21">
    <w:name w:val="Medium List 21"/>
    <w:basedOn w:val="TableNormal"/>
    <w:uiPriority w:val="66"/>
    <w:rsid w:val="001A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1A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079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sdelh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sesdelh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15.249.67.71:7890/web_dss/frmDSS.aspx?err=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Rajul Aggarwal</dc:creator>
  <cp:lastModifiedBy>41016336</cp:lastModifiedBy>
  <cp:revision>20</cp:revision>
  <cp:lastPrinted>2017-10-12T09:21:00Z</cp:lastPrinted>
  <dcterms:created xsi:type="dcterms:W3CDTF">2018-04-12T09:11:00Z</dcterms:created>
  <dcterms:modified xsi:type="dcterms:W3CDTF">2018-04-12T11:32:00Z</dcterms:modified>
</cp:coreProperties>
</file>